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C0" w:rsidRDefault="002E5AC0" w:rsidP="002E5AC0">
      <w:pPr>
        <w:jc w:val="center"/>
        <w:rPr>
          <w:b/>
          <w:caps/>
          <w:sz w:val="28"/>
          <w:szCs w:val="28"/>
        </w:rPr>
      </w:pPr>
      <w:bookmarkStart w:id="0" w:name="CriticalElements"/>
      <w:r w:rsidRPr="003E5EEA">
        <w:rPr>
          <w:b/>
          <w:caps/>
          <w:sz w:val="28"/>
          <w:szCs w:val="28"/>
        </w:rPr>
        <w:t>Critical Elements and Agency Leadership</w:t>
      </w:r>
      <w:bookmarkEnd w:id="0"/>
    </w:p>
    <w:p w:rsidR="00D36104" w:rsidRPr="003E5EEA" w:rsidRDefault="00D36104" w:rsidP="002E5AC0">
      <w:pPr>
        <w:jc w:val="center"/>
        <w:rPr>
          <w:b/>
          <w:caps/>
          <w:sz w:val="28"/>
          <w:szCs w:val="28"/>
        </w:rPr>
      </w:pPr>
      <w:bookmarkStart w:id="1" w:name="_GoBack"/>
      <w:bookmarkEnd w:id="1"/>
    </w:p>
    <w:p w:rsidR="002E5AC0" w:rsidRDefault="002E5AC0" w:rsidP="002E5AC0">
      <w:pPr>
        <w:jc w:val="center"/>
        <w:rPr>
          <w:b/>
        </w:rPr>
      </w:pPr>
    </w:p>
    <w:p w:rsidR="002E5AC0" w:rsidRPr="00573276" w:rsidRDefault="002E5AC0" w:rsidP="002E5AC0">
      <w:pPr>
        <w:rPr>
          <w:sz w:val="28"/>
          <w:szCs w:val="28"/>
        </w:rPr>
      </w:pPr>
      <w:r w:rsidRPr="00573276">
        <w:rPr>
          <w:sz w:val="28"/>
          <w:szCs w:val="28"/>
        </w:rPr>
        <w:t>Critical Elements and Agency Leadership for Sexual Assault Response</w:t>
      </w:r>
      <w:r>
        <w:rPr>
          <w:sz w:val="28"/>
          <w:szCs w:val="28"/>
        </w:rPr>
        <w:t>—</w:t>
      </w:r>
      <w:r w:rsidRPr="00573276">
        <w:rPr>
          <w:sz w:val="28"/>
          <w:szCs w:val="28"/>
        </w:rPr>
        <w:t>SART Assessment</w:t>
      </w:r>
      <w:r>
        <w:rPr>
          <w:sz w:val="28"/>
          <w:szCs w:val="28"/>
        </w:rPr>
        <w:t xml:space="preserve"> and</w:t>
      </w:r>
      <w:r w:rsidRPr="00573276">
        <w:rPr>
          <w:sz w:val="28"/>
          <w:szCs w:val="28"/>
        </w:rPr>
        <w:t xml:space="preserve"> Review</w:t>
      </w:r>
      <w:r>
        <w:rPr>
          <w:sz w:val="28"/>
          <w:szCs w:val="28"/>
        </w:rPr>
        <w:t xml:space="preserve"> </w:t>
      </w:r>
    </w:p>
    <w:p w:rsidR="002E5AC0" w:rsidRDefault="002E5AC0" w:rsidP="002E5AC0">
      <w:pPr>
        <w:ind w:left="720" w:right="720"/>
        <w:rPr>
          <w:sz w:val="18"/>
          <w:szCs w:val="18"/>
        </w:rPr>
      </w:pPr>
    </w:p>
    <w:p w:rsidR="002E5AC0" w:rsidRPr="00331E31" w:rsidRDefault="002E5AC0" w:rsidP="002E5AC0">
      <w:pPr>
        <w:ind w:left="720" w:right="720"/>
        <w:jc w:val="center"/>
        <w:rPr>
          <w:sz w:val="18"/>
          <w:szCs w:val="18"/>
        </w:rPr>
      </w:pPr>
      <w:r w:rsidRPr="00331E31">
        <w:rPr>
          <w:sz w:val="18"/>
          <w:szCs w:val="18"/>
        </w:rPr>
        <w:t>The purpose of this inve</w:t>
      </w:r>
      <w:r>
        <w:rPr>
          <w:sz w:val="18"/>
          <w:szCs w:val="18"/>
        </w:rPr>
        <w:t>ntory is to encourage the multi</w:t>
      </w:r>
      <w:r w:rsidRPr="00331E31">
        <w:rPr>
          <w:sz w:val="18"/>
          <w:szCs w:val="18"/>
        </w:rPr>
        <w:t>disciplinary sexual assault response team to discuss and r</w:t>
      </w:r>
      <w:r>
        <w:rPr>
          <w:sz w:val="18"/>
          <w:szCs w:val="18"/>
        </w:rPr>
        <w:t xml:space="preserve">eview which services are and are not offered, </w:t>
      </w:r>
      <w:r w:rsidRPr="00331E31">
        <w:rPr>
          <w:sz w:val="18"/>
          <w:szCs w:val="18"/>
        </w:rPr>
        <w:t>by which agency(s)</w:t>
      </w:r>
      <w:r>
        <w:rPr>
          <w:sz w:val="18"/>
          <w:szCs w:val="18"/>
        </w:rPr>
        <w:t>, and</w:t>
      </w:r>
      <w:r w:rsidRPr="00331E31">
        <w:rPr>
          <w:sz w:val="18"/>
          <w:szCs w:val="18"/>
        </w:rPr>
        <w:t xml:space="preserve"> if duplication/overlap of services is</w:t>
      </w:r>
      <w:r>
        <w:rPr>
          <w:sz w:val="18"/>
          <w:szCs w:val="18"/>
        </w:rPr>
        <w:t xml:space="preserve"> a</w:t>
      </w:r>
      <w:r w:rsidRPr="00331E31">
        <w:rPr>
          <w:sz w:val="18"/>
          <w:szCs w:val="18"/>
        </w:rPr>
        <w:t xml:space="preserve"> potential problem</w:t>
      </w:r>
      <w:r>
        <w:rPr>
          <w:sz w:val="18"/>
          <w:szCs w:val="18"/>
        </w:rPr>
        <w:t>s</w:t>
      </w:r>
      <w:r w:rsidRPr="00331E31">
        <w:rPr>
          <w:sz w:val="18"/>
          <w:szCs w:val="18"/>
        </w:rPr>
        <w:t>.</w:t>
      </w:r>
    </w:p>
    <w:p w:rsidR="002E5AC0" w:rsidRPr="00D46258" w:rsidRDefault="002E5AC0" w:rsidP="002E5AC0">
      <w:pPr>
        <w:rPr>
          <w:sz w:val="20"/>
          <w:szCs w:val="20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810"/>
        <w:gridCol w:w="810"/>
        <w:gridCol w:w="810"/>
        <w:gridCol w:w="630"/>
        <w:gridCol w:w="900"/>
        <w:gridCol w:w="810"/>
        <w:gridCol w:w="1350"/>
        <w:gridCol w:w="1080"/>
      </w:tblGrid>
      <w:tr w:rsidR="002E5AC0" w:rsidRPr="00EA1461" w:rsidTr="001020F4">
        <w:tc>
          <w:tcPr>
            <w:tcW w:w="6228" w:type="dxa"/>
            <w:vAlign w:val="center"/>
          </w:tcPr>
          <w:p w:rsidR="002E5AC0" w:rsidRPr="00EA1461" w:rsidRDefault="002E5AC0" w:rsidP="001020F4">
            <w:pPr>
              <w:rPr>
                <w:b/>
              </w:rPr>
            </w:pPr>
            <w:r w:rsidRPr="00EA1461">
              <w:rPr>
                <w:b/>
              </w:rPr>
              <w:t>Critical Elements of Sexual Assault Response</w:t>
            </w:r>
          </w:p>
        </w:tc>
        <w:tc>
          <w:tcPr>
            <w:tcW w:w="81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Rape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Crisis</w:t>
            </w:r>
          </w:p>
        </w:tc>
        <w:tc>
          <w:tcPr>
            <w:tcW w:w="81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SANE</w:t>
            </w:r>
          </w:p>
        </w:tc>
        <w:tc>
          <w:tcPr>
            <w:tcW w:w="81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Law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1461">
              <w:rPr>
                <w:b/>
                <w:sz w:val="20"/>
                <w:szCs w:val="20"/>
              </w:rPr>
              <w:t>Enf</w:t>
            </w:r>
            <w:proofErr w:type="spellEnd"/>
            <w:r w:rsidRPr="00EA14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</w:t>
            </w:r>
            <w:r w:rsidRPr="00EA146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Victim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Adv.</w:t>
            </w:r>
          </w:p>
        </w:tc>
        <w:tc>
          <w:tcPr>
            <w:tcW w:w="81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Crime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135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Courts and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Corrections</w:t>
            </w:r>
          </w:p>
        </w:tc>
        <w:tc>
          <w:tcPr>
            <w:tcW w:w="108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Areas for Attention</w:t>
            </w:r>
          </w:p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Receive report of victim sexual assault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Activate other services on behalf of sexual assault victim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Ensure initial safety for victim 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Offer info/options to victim about services, decisions, costs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need/consent for medical care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Arrange transportation to/from medical care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Advise victim of evidence preservation steps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Work with secondary victims (family, friends, witnesses)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Record victim’s statements/condition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extent of medical attention and emergency care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Identify need and refer victim for emergency medical care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Inform victim of evidence collection/receive authorization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if victim wants advocate support during medical and/or forensic exam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Determine need and provide interpreters for victim 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need for mandated reporting requirements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need and activate legal guardianship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Conduct forensic examination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Collect and preserve evidence from the victim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Provide clothing/amenities for victim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Test for pregnancy/provide treatment for STD/EC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Obtain victim standards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Risk assessment/referral for suicide risk 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Arrange for transportation home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Inform victim of </w:t>
            </w:r>
            <w:proofErr w:type="spellStart"/>
            <w:r>
              <w:t>followup</w:t>
            </w:r>
            <w:proofErr w:type="spellEnd"/>
            <w:r>
              <w:t xml:space="preserve"> care resources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Provide </w:t>
            </w:r>
            <w:proofErr w:type="spellStart"/>
            <w:r>
              <w:t>followup</w:t>
            </w:r>
            <w:proofErr w:type="spellEnd"/>
            <w:r>
              <w:t>/aftermath services</w:t>
            </w:r>
          </w:p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630" w:type="dxa"/>
          </w:tcPr>
          <w:p w:rsidR="002E5AC0" w:rsidRDefault="002E5AC0" w:rsidP="001020F4"/>
        </w:tc>
        <w:tc>
          <w:tcPr>
            <w:tcW w:w="900" w:type="dxa"/>
          </w:tcPr>
          <w:p w:rsidR="002E5AC0" w:rsidRDefault="002E5AC0" w:rsidP="001020F4"/>
        </w:tc>
        <w:tc>
          <w:tcPr>
            <w:tcW w:w="810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</w:tbl>
    <w:p w:rsidR="002E5AC0" w:rsidRDefault="002E5AC0" w:rsidP="002E5AC0"/>
    <w:p w:rsidR="002E5AC0" w:rsidRDefault="002E5AC0" w:rsidP="002E5AC0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862"/>
        <w:gridCol w:w="758"/>
        <w:gridCol w:w="860"/>
        <w:gridCol w:w="540"/>
        <w:gridCol w:w="899"/>
        <w:gridCol w:w="851"/>
        <w:gridCol w:w="1350"/>
        <w:gridCol w:w="1080"/>
      </w:tblGrid>
      <w:tr w:rsidR="002E5AC0" w:rsidRPr="00EA1461" w:rsidTr="001020F4">
        <w:tc>
          <w:tcPr>
            <w:tcW w:w="6228" w:type="dxa"/>
            <w:vAlign w:val="center"/>
          </w:tcPr>
          <w:p w:rsidR="002E5AC0" w:rsidRPr="00EA1461" w:rsidRDefault="002E5AC0" w:rsidP="001020F4">
            <w:pPr>
              <w:rPr>
                <w:b/>
              </w:rPr>
            </w:pPr>
            <w:r w:rsidRPr="00EA1461">
              <w:rPr>
                <w:b/>
              </w:rPr>
              <w:t>Critical Elements of Sexual Assault Response</w:t>
            </w:r>
          </w:p>
        </w:tc>
        <w:tc>
          <w:tcPr>
            <w:tcW w:w="862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Rape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Crisis</w:t>
            </w:r>
          </w:p>
        </w:tc>
        <w:tc>
          <w:tcPr>
            <w:tcW w:w="758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SANE</w:t>
            </w:r>
          </w:p>
        </w:tc>
        <w:tc>
          <w:tcPr>
            <w:tcW w:w="86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Law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1461">
              <w:rPr>
                <w:b/>
                <w:sz w:val="20"/>
                <w:szCs w:val="20"/>
              </w:rPr>
              <w:t>Enf</w:t>
            </w:r>
            <w:proofErr w:type="spellEnd"/>
            <w:r w:rsidRPr="00EA14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899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Victim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Adv.</w:t>
            </w:r>
          </w:p>
        </w:tc>
        <w:tc>
          <w:tcPr>
            <w:tcW w:w="851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Crime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135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Courts and</w:t>
            </w:r>
          </w:p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Corrections</w:t>
            </w:r>
          </w:p>
        </w:tc>
        <w:tc>
          <w:tcPr>
            <w:tcW w:w="1080" w:type="dxa"/>
            <w:vAlign w:val="center"/>
          </w:tcPr>
          <w:p w:rsidR="002E5AC0" w:rsidRPr="00EA1461" w:rsidRDefault="002E5AC0" w:rsidP="001020F4">
            <w:pPr>
              <w:jc w:val="center"/>
              <w:rPr>
                <w:b/>
                <w:sz w:val="20"/>
                <w:szCs w:val="20"/>
              </w:rPr>
            </w:pPr>
            <w:r w:rsidRPr="00EA1461">
              <w:rPr>
                <w:b/>
                <w:sz w:val="20"/>
                <w:szCs w:val="20"/>
              </w:rPr>
              <w:t>Areas for Attention</w:t>
            </w:r>
          </w:p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Determine location of scene 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need for crime scene activation/resources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Determine if assailant is still nearby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Investigate crime scene, trace evidence, photos, etc.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Search warrants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Collect suspect/assailant standards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Inform/assist victim with CVRC reimbursement claim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Inform victim of law enforcement investigation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Keep victim informed of case status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Inform victim of pre-trial hearings and motions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Accompany victim through legal proceedings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Consider needs/rights of victim in scheduling proceedings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Inform victims of reasons to consider a negotiated plea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Describe optional courses of action for victim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 xml:space="preserve">Ensure opportunity for victim impact statement as part of sentence considerations 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Include victim needs as part of sentence, such as restitution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Notify victim about changes in offender status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Notify victim of scheduled parole hearings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Provide opportunity for victim testimony at parole hearings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Notify victim of release and status of release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Train/educate co-responding agencies on what each program does and what services are provided by each agency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Develop materials and outreach for public about services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Target hard-to-reach or at-risk populations about services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Review sexual assault cases to improve interagency response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  <w:tr w:rsidR="002E5AC0" w:rsidTr="001020F4">
        <w:tc>
          <w:tcPr>
            <w:tcW w:w="6228" w:type="dxa"/>
          </w:tcPr>
          <w:p w:rsidR="002E5AC0" w:rsidRDefault="002E5AC0" w:rsidP="001020F4">
            <w:r>
              <w:t>Share/compare data, trends, and timelines of how sexual assault cases move between systems</w:t>
            </w:r>
          </w:p>
        </w:tc>
        <w:tc>
          <w:tcPr>
            <w:tcW w:w="862" w:type="dxa"/>
          </w:tcPr>
          <w:p w:rsidR="002E5AC0" w:rsidRDefault="002E5AC0" w:rsidP="001020F4"/>
        </w:tc>
        <w:tc>
          <w:tcPr>
            <w:tcW w:w="758" w:type="dxa"/>
          </w:tcPr>
          <w:p w:rsidR="002E5AC0" w:rsidRDefault="002E5AC0" w:rsidP="001020F4"/>
        </w:tc>
        <w:tc>
          <w:tcPr>
            <w:tcW w:w="860" w:type="dxa"/>
          </w:tcPr>
          <w:p w:rsidR="002E5AC0" w:rsidRDefault="002E5AC0" w:rsidP="001020F4"/>
        </w:tc>
        <w:tc>
          <w:tcPr>
            <w:tcW w:w="540" w:type="dxa"/>
          </w:tcPr>
          <w:p w:rsidR="002E5AC0" w:rsidRDefault="002E5AC0" w:rsidP="001020F4"/>
        </w:tc>
        <w:tc>
          <w:tcPr>
            <w:tcW w:w="899" w:type="dxa"/>
          </w:tcPr>
          <w:p w:rsidR="002E5AC0" w:rsidRDefault="002E5AC0" w:rsidP="001020F4"/>
        </w:tc>
        <w:tc>
          <w:tcPr>
            <w:tcW w:w="851" w:type="dxa"/>
          </w:tcPr>
          <w:p w:rsidR="002E5AC0" w:rsidRDefault="002E5AC0" w:rsidP="001020F4"/>
        </w:tc>
        <w:tc>
          <w:tcPr>
            <w:tcW w:w="1350" w:type="dxa"/>
          </w:tcPr>
          <w:p w:rsidR="002E5AC0" w:rsidRDefault="002E5AC0" w:rsidP="001020F4"/>
        </w:tc>
        <w:tc>
          <w:tcPr>
            <w:tcW w:w="1080" w:type="dxa"/>
          </w:tcPr>
          <w:p w:rsidR="002E5AC0" w:rsidRDefault="002E5AC0" w:rsidP="001020F4"/>
        </w:tc>
      </w:tr>
    </w:tbl>
    <w:p w:rsidR="002E5AC0" w:rsidRDefault="002E5AC0" w:rsidP="002E5AC0"/>
    <w:p w:rsidR="00F140B8" w:rsidRDefault="00F140B8"/>
    <w:sectPr w:rsidR="00F140B8" w:rsidSect="002E5AC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AC0"/>
    <w:rsid w:val="002E5AC0"/>
    <w:rsid w:val="0092452B"/>
    <w:rsid w:val="009D2DE8"/>
    <w:rsid w:val="00C0283B"/>
    <w:rsid w:val="00D36104"/>
    <w:rsid w:val="00F140B8"/>
    <w:rsid w:val="00F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 Garry</dc:creator>
  <cp:lastModifiedBy>Kristy J Garry</cp:lastModifiedBy>
  <cp:revision>4</cp:revision>
  <dcterms:created xsi:type="dcterms:W3CDTF">2011-06-22T18:21:00Z</dcterms:created>
  <dcterms:modified xsi:type="dcterms:W3CDTF">2012-11-02T20:27:00Z</dcterms:modified>
</cp:coreProperties>
</file>