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F1" w:rsidRPr="006E35F1" w:rsidRDefault="006E35F1" w:rsidP="006E35F1">
      <w:pPr>
        <w:shd w:val="clear" w:color="auto" w:fill="FFFFFF"/>
        <w:spacing w:after="0" w:line="240" w:lineRule="auto"/>
        <w:textAlignment w:val="baseline"/>
        <w:rPr>
          <w:rFonts w:ascii="Century Gothic" w:hAnsi="Century Gothic"/>
          <w:b/>
          <w:sz w:val="20"/>
          <w:szCs w:val="20"/>
          <w:u w:val="single"/>
        </w:rPr>
      </w:pPr>
    </w:p>
    <w:p w:rsidR="006E35F1" w:rsidRPr="006E35F1" w:rsidRDefault="006E35F1" w:rsidP="006E35F1">
      <w:pPr>
        <w:shd w:val="clear" w:color="auto" w:fill="FFFFFF"/>
        <w:spacing w:line="240" w:lineRule="auto"/>
        <w:textAlignment w:val="baseline"/>
        <w:rPr>
          <w:rFonts w:ascii="Century Gothic" w:eastAsia="Times New Roman" w:hAnsi="Century Gothic" w:cs="Times New Roman"/>
          <w:color w:val="000000"/>
          <w:sz w:val="20"/>
          <w:szCs w:val="20"/>
        </w:rPr>
      </w:pPr>
      <w:r w:rsidRPr="006E35F1">
        <w:rPr>
          <w:rFonts w:ascii="Century Gothic" w:eastAsia="Times New Roman" w:hAnsi="Century Gothic" w:cs="Times New Roman"/>
          <w:b/>
          <w:color w:val="000000"/>
          <w:sz w:val="20"/>
          <w:szCs w:val="20"/>
        </w:rPr>
        <w:t>What is the problem HB18-1391 addresses?</w:t>
      </w:r>
    </w:p>
    <w:p w:rsidR="006E35F1" w:rsidRPr="006E35F1" w:rsidRDefault="006E35F1" w:rsidP="006E35F1">
      <w:pPr>
        <w:numPr>
          <w:ilvl w:val="0"/>
          <w:numId w:val="8"/>
        </w:numPr>
        <w:shd w:val="clear" w:color="auto" w:fill="FFFFFF"/>
        <w:spacing w:after="0" w:line="240" w:lineRule="auto"/>
        <w:textAlignment w:val="baseline"/>
        <w:rPr>
          <w:rFonts w:ascii="Century Gothic" w:eastAsia="Times New Roman" w:hAnsi="Century Gothic" w:cs="Times New Roman"/>
          <w:color w:val="000000"/>
          <w:sz w:val="20"/>
          <w:szCs w:val="20"/>
        </w:rPr>
      </w:pPr>
      <w:r w:rsidRPr="006E35F1">
        <w:rPr>
          <w:rFonts w:ascii="Century Gothic" w:eastAsia="Times New Roman" w:hAnsi="Century Gothic" w:cs="Times New Roman"/>
          <w:color w:val="000000"/>
          <w:sz w:val="20"/>
          <w:szCs w:val="20"/>
        </w:rPr>
        <w:t>Sexual violence affects</w:t>
      </w:r>
      <w:r w:rsidRPr="006E35F1">
        <w:rPr>
          <w:rFonts w:ascii="Century Gothic" w:eastAsia="Times New Roman" w:hAnsi="Century Gothic" w:cs="Times New Roman"/>
          <w:b/>
          <w:bCs/>
          <w:color w:val="006A71"/>
          <w:sz w:val="20"/>
          <w:szCs w:val="20"/>
          <w:bdr w:val="none" w:sz="0" w:space="0" w:color="auto" w:frame="1"/>
        </w:rPr>
        <w:t> 1 in 5 women </w:t>
      </w:r>
      <w:r w:rsidRPr="006E35F1">
        <w:rPr>
          <w:rFonts w:ascii="Century Gothic" w:eastAsia="Times New Roman" w:hAnsi="Century Gothic" w:cs="Times New Roman"/>
          <w:color w:val="006A71"/>
          <w:sz w:val="20"/>
          <w:szCs w:val="20"/>
          <w:bdr w:val="none" w:sz="0" w:space="0" w:color="auto" w:frame="1"/>
        </w:rPr>
        <w:t>and</w:t>
      </w:r>
      <w:r w:rsidRPr="006E35F1">
        <w:rPr>
          <w:rFonts w:ascii="Century Gothic" w:eastAsia="Times New Roman" w:hAnsi="Century Gothic" w:cs="Times New Roman"/>
          <w:b/>
          <w:bCs/>
          <w:color w:val="006A71"/>
          <w:sz w:val="20"/>
          <w:szCs w:val="20"/>
          <w:bdr w:val="none" w:sz="0" w:space="0" w:color="auto" w:frame="1"/>
        </w:rPr>
        <w:t> 1 in 16 men</w:t>
      </w:r>
      <w:r w:rsidRPr="006E35F1">
        <w:rPr>
          <w:rFonts w:ascii="Century Gothic" w:eastAsia="Times New Roman" w:hAnsi="Century Gothic" w:cs="Times New Roman"/>
          <w:b/>
          <w:bCs/>
          <w:color w:val="000000"/>
          <w:sz w:val="20"/>
          <w:szCs w:val="20"/>
          <w:bdr w:val="none" w:sz="0" w:space="0" w:color="auto" w:frame="1"/>
        </w:rPr>
        <w:t> </w:t>
      </w:r>
      <w:r w:rsidRPr="006E35F1">
        <w:rPr>
          <w:rFonts w:ascii="Century Gothic" w:eastAsia="Times New Roman" w:hAnsi="Century Gothic" w:cs="Times New Roman"/>
          <w:color w:val="000000"/>
          <w:sz w:val="20"/>
          <w:szCs w:val="20"/>
        </w:rPr>
        <w:t>on college campuses. </w:t>
      </w:r>
      <w:r w:rsidRPr="006E35F1">
        <w:rPr>
          <w:rFonts w:ascii="Century Gothic" w:eastAsia="Times New Roman" w:hAnsi="Century Gothic" w:cs="Times New Roman"/>
          <w:b/>
          <w:bCs/>
          <w:color w:val="006A71"/>
          <w:sz w:val="20"/>
          <w:szCs w:val="20"/>
          <w:bdr w:val="none" w:sz="0" w:space="0" w:color="auto" w:frame="1"/>
        </w:rPr>
        <w:t>Only 12% of victims report</w:t>
      </w:r>
      <w:r w:rsidRPr="006E35F1">
        <w:rPr>
          <w:rFonts w:ascii="Century Gothic" w:eastAsia="Times New Roman" w:hAnsi="Century Gothic" w:cs="Times New Roman"/>
          <w:b/>
          <w:bCs/>
          <w:color w:val="000000"/>
          <w:sz w:val="20"/>
          <w:szCs w:val="20"/>
          <w:bdr w:val="none" w:sz="0" w:space="0" w:color="auto" w:frame="1"/>
        </w:rPr>
        <w:t> </w:t>
      </w:r>
      <w:r w:rsidRPr="006E35F1">
        <w:rPr>
          <w:rFonts w:ascii="Century Gothic" w:eastAsia="Times New Roman" w:hAnsi="Century Gothic" w:cs="Times New Roman"/>
          <w:color w:val="000000"/>
          <w:sz w:val="20"/>
          <w:szCs w:val="20"/>
        </w:rPr>
        <w:t>the assault. Sexual violence has a profound effect on our communities with</w:t>
      </w:r>
      <w:r w:rsidRPr="006E35F1">
        <w:rPr>
          <w:rFonts w:ascii="Century Gothic" w:eastAsia="Times New Roman" w:hAnsi="Century Gothic" w:cs="Times New Roman"/>
          <w:b/>
          <w:bCs/>
          <w:color w:val="006A71"/>
          <w:sz w:val="20"/>
          <w:szCs w:val="20"/>
          <w:bdr w:val="none" w:sz="0" w:space="0" w:color="auto" w:frame="1"/>
        </w:rPr>
        <w:t> 34% of college student survivors experiencing Post Traumatic Stress Disorder, 33% experiencing depression, and 40% abusing drug and alcohol as means to self-medicate.</w:t>
      </w:r>
    </w:p>
    <w:p w:rsidR="00DE4AF2" w:rsidRDefault="006E35F1" w:rsidP="006E35F1">
      <w:pPr>
        <w:numPr>
          <w:ilvl w:val="0"/>
          <w:numId w:val="8"/>
        </w:numPr>
        <w:shd w:val="clear" w:color="auto" w:fill="FFFFFF"/>
        <w:spacing w:line="240" w:lineRule="auto"/>
        <w:textAlignment w:val="baseline"/>
        <w:rPr>
          <w:rFonts w:ascii="Century Gothic" w:eastAsia="Times New Roman" w:hAnsi="Century Gothic" w:cs="Times New Roman"/>
          <w:color w:val="000000"/>
          <w:sz w:val="20"/>
          <w:szCs w:val="20"/>
        </w:rPr>
      </w:pPr>
      <w:r w:rsidRPr="006E35F1">
        <w:rPr>
          <w:rFonts w:ascii="Century Gothic" w:eastAsia="Times New Roman" w:hAnsi="Century Gothic" w:cs="Times New Roman"/>
          <w:color w:val="000000"/>
          <w:sz w:val="20"/>
          <w:szCs w:val="20"/>
        </w:rPr>
        <w:t>This bill is a </w:t>
      </w:r>
      <w:r w:rsidRPr="006E35F1">
        <w:rPr>
          <w:rFonts w:ascii="Century Gothic" w:eastAsia="Times New Roman" w:hAnsi="Century Gothic" w:cs="Times New Roman"/>
          <w:b/>
          <w:bCs/>
          <w:i/>
          <w:iCs/>
          <w:color w:val="006A71"/>
          <w:sz w:val="20"/>
          <w:szCs w:val="20"/>
          <w:bdr w:val="none" w:sz="0" w:space="0" w:color="auto" w:frame="1"/>
        </w:rPr>
        <w:t>Colorado solution</w:t>
      </w:r>
      <w:r w:rsidRPr="006E35F1">
        <w:rPr>
          <w:rFonts w:ascii="Century Gothic" w:eastAsia="Times New Roman" w:hAnsi="Century Gothic" w:cs="Times New Roman"/>
          <w:color w:val="006A71"/>
          <w:sz w:val="20"/>
          <w:szCs w:val="20"/>
          <w:bdr w:val="none" w:sz="0" w:space="0" w:color="auto" w:frame="1"/>
        </w:rPr>
        <w:t> </w:t>
      </w:r>
      <w:r w:rsidRPr="006E35F1">
        <w:rPr>
          <w:rFonts w:ascii="Century Gothic" w:eastAsia="Times New Roman" w:hAnsi="Century Gothic" w:cs="Times New Roman"/>
          <w:color w:val="000000"/>
          <w:sz w:val="20"/>
          <w:szCs w:val="20"/>
        </w:rPr>
        <w:t>agreed upon by Colorado institutions of higher education, and Colorado victim advocacy groups to address campus sexual misconduct and create </w:t>
      </w:r>
      <w:r w:rsidRPr="006E35F1">
        <w:rPr>
          <w:rFonts w:ascii="Century Gothic" w:eastAsia="Times New Roman" w:hAnsi="Century Gothic" w:cs="Times New Roman"/>
          <w:b/>
          <w:bCs/>
          <w:color w:val="006A71"/>
          <w:sz w:val="20"/>
          <w:szCs w:val="20"/>
          <w:bdr w:val="none" w:sz="0" w:space="0" w:color="auto" w:frame="1"/>
        </w:rPr>
        <w:t>clear and consistent policies</w:t>
      </w:r>
      <w:r w:rsidRPr="006E35F1">
        <w:rPr>
          <w:rFonts w:ascii="Century Gothic" w:eastAsia="Times New Roman" w:hAnsi="Century Gothic" w:cs="Times New Roman"/>
          <w:color w:val="000000"/>
          <w:sz w:val="20"/>
          <w:szCs w:val="20"/>
        </w:rPr>
        <w:t> to support survivors, </w:t>
      </w:r>
      <w:r w:rsidRPr="006E35F1">
        <w:rPr>
          <w:rFonts w:ascii="Century Gothic" w:eastAsia="Times New Roman" w:hAnsi="Century Gothic" w:cs="Times New Roman"/>
          <w:b/>
          <w:bCs/>
          <w:color w:val="006A71"/>
          <w:sz w:val="20"/>
          <w:szCs w:val="20"/>
          <w:bdr w:val="none" w:sz="0" w:space="0" w:color="auto" w:frame="1"/>
        </w:rPr>
        <w:t>establish fairness</w:t>
      </w:r>
      <w:r w:rsidRPr="006E35F1">
        <w:rPr>
          <w:rFonts w:ascii="Century Gothic" w:eastAsia="Times New Roman" w:hAnsi="Century Gothic" w:cs="Times New Roman"/>
          <w:color w:val="000000"/>
          <w:sz w:val="20"/>
          <w:szCs w:val="20"/>
        </w:rPr>
        <w:t> in procedures, and ensure </w:t>
      </w:r>
      <w:r w:rsidRPr="006E35F1">
        <w:rPr>
          <w:rFonts w:ascii="Century Gothic" w:eastAsia="Times New Roman" w:hAnsi="Century Gothic" w:cs="Times New Roman"/>
          <w:b/>
          <w:bCs/>
          <w:color w:val="006A71"/>
          <w:sz w:val="20"/>
          <w:szCs w:val="20"/>
          <w:bdr w:val="none" w:sz="0" w:space="0" w:color="auto" w:frame="1"/>
        </w:rPr>
        <w:t>safe and meaningful access</w:t>
      </w:r>
      <w:r w:rsidRPr="006E35F1">
        <w:rPr>
          <w:rFonts w:ascii="Century Gothic" w:eastAsia="Times New Roman" w:hAnsi="Century Gothic" w:cs="Times New Roman"/>
          <w:color w:val="000000"/>
          <w:sz w:val="20"/>
          <w:szCs w:val="20"/>
        </w:rPr>
        <w:t> to education for all.</w:t>
      </w:r>
    </w:p>
    <w:p w:rsidR="006E35F1" w:rsidRPr="006E35F1" w:rsidRDefault="006E35F1" w:rsidP="006E35F1">
      <w:pPr>
        <w:rPr>
          <w:rFonts w:ascii="Century Gothic" w:hAnsi="Century Gothic"/>
          <w:b/>
          <w:bCs/>
          <w:sz w:val="20"/>
          <w:szCs w:val="20"/>
        </w:rPr>
      </w:pPr>
      <w:r w:rsidRPr="006E35F1">
        <w:rPr>
          <w:rFonts w:ascii="Century Gothic" w:hAnsi="Century Gothic"/>
          <w:b/>
          <w:bCs/>
          <w:sz w:val="20"/>
          <w:szCs w:val="20"/>
        </w:rPr>
        <w:t xml:space="preserve">Why </w:t>
      </w:r>
      <w:r>
        <w:rPr>
          <w:rFonts w:ascii="Century Gothic" w:hAnsi="Century Gothic"/>
          <w:b/>
          <w:bCs/>
          <w:sz w:val="20"/>
          <w:szCs w:val="20"/>
        </w:rPr>
        <w:t>does the bill prohibit active counsel?</w:t>
      </w:r>
    </w:p>
    <w:p w:rsidR="006E35F1" w:rsidRPr="006E35F1" w:rsidRDefault="006E35F1" w:rsidP="006E35F1">
      <w:pPr>
        <w:numPr>
          <w:ilvl w:val="0"/>
          <w:numId w:val="4"/>
        </w:numPr>
        <w:spacing w:after="0" w:line="252" w:lineRule="auto"/>
        <w:rPr>
          <w:rFonts w:ascii="Century Gothic" w:hAnsi="Century Gothic"/>
          <w:b/>
          <w:color w:val="006A71"/>
          <w:sz w:val="20"/>
          <w:szCs w:val="20"/>
        </w:rPr>
      </w:pPr>
      <w:r w:rsidRPr="006E35F1">
        <w:rPr>
          <w:rFonts w:ascii="Century Gothic" w:hAnsi="Century Gothic"/>
          <w:sz w:val="20"/>
          <w:szCs w:val="20"/>
        </w:rPr>
        <w:t xml:space="preserve">Right to counsel </w:t>
      </w:r>
      <w:r w:rsidRPr="006E35F1">
        <w:rPr>
          <w:rFonts w:ascii="Century Gothic" w:hAnsi="Century Gothic"/>
          <w:b/>
          <w:color w:val="006A71"/>
          <w:sz w:val="20"/>
          <w:szCs w:val="20"/>
        </w:rPr>
        <w:t>privileges wealthy students</w:t>
      </w:r>
      <w:r w:rsidR="00FF17F3">
        <w:rPr>
          <w:rFonts w:ascii="Century Gothic" w:hAnsi="Century Gothic"/>
          <w:b/>
          <w:color w:val="006A71"/>
          <w:sz w:val="20"/>
          <w:szCs w:val="20"/>
        </w:rPr>
        <w:t>—legal fees can total over $50,000</w:t>
      </w:r>
    </w:p>
    <w:p w:rsidR="006E35F1" w:rsidRDefault="006E35F1" w:rsidP="006E35F1">
      <w:pPr>
        <w:numPr>
          <w:ilvl w:val="0"/>
          <w:numId w:val="4"/>
        </w:numPr>
        <w:spacing w:after="0" w:line="252" w:lineRule="auto"/>
        <w:rPr>
          <w:rFonts w:ascii="Century Gothic" w:hAnsi="Century Gothic"/>
          <w:sz w:val="20"/>
          <w:szCs w:val="20"/>
        </w:rPr>
      </w:pPr>
      <w:r w:rsidRPr="006E35F1">
        <w:rPr>
          <w:rFonts w:ascii="Century Gothic" w:hAnsi="Century Gothic"/>
          <w:sz w:val="20"/>
          <w:szCs w:val="20"/>
        </w:rPr>
        <w:t xml:space="preserve">Active counsel will result in survivors declining </w:t>
      </w:r>
      <w:r w:rsidR="00FF17F3">
        <w:rPr>
          <w:rFonts w:ascii="Century Gothic" w:hAnsi="Century Gothic"/>
          <w:sz w:val="20"/>
          <w:szCs w:val="20"/>
        </w:rPr>
        <w:t>report their abuse or seek help from their school</w:t>
      </w:r>
      <w:r w:rsidRPr="006E35F1">
        <w:rPr>
          <w:rFonts w:ascii="Century Gothic" w:hAnsi="Century Gothic"/>
          <w:sz w:val="20"/>
          <w:szCs w:val="20"/>
        </w:rPr>
        <w:t xml:space="preserve">, </w:t>
      </w:r>
      <w:r w:rsidR="00DE4AF2">
        <w:rPr>
          <w:rFonts w:ascii="Century Gothic" w:hAnsi="Century Gothic"/>
          <w:sz w:val="20"/>
          <w:szCs w:val="20"/>
        </w:rPr>
        <w:t>intimidated by</w:t>
      </w:r>
      <w:r w:rsidR="00DE4AF2" w:rsidRPr="006E35F1">
        <w:rPr>
          <w:rFonts w:ascii="Century Gothic" w:hAnsi="Century Gothic"/>
          <w:sz w:val="20"/>
          <w:szCs w:val="20"/>
        </w:rPr>
        <w:t xml:space="preserve"> </w:t>
      </w:r>
      <w:r w:rsidRPr="006E35F1">
        <w:rPr>
          <w:rFonts w:ascii="Century Gothic" w:hAnsi="Century Gothic"/>
          <w:sz w:val="20"/>
          <w:szCs w:val="20"/>
        </w:rPr>
        <w:t xml:space="preserve">the tactics (real or believed) of professional defense lawyers who </w:t>
      </w:r>
      <w:r w:rsidRPr="006E35F1">
        <w:rPr>
          <w:rFonts w:ascii="Century Gothic" w:hAnsi="Century Gothic"/>
          <w:b/>
          <w:color w:val="006A71"/>
          <w:sz w:val="20"/>
          <w:szCs w:val="20"/>
        </w:rPr>
        <w:t>tear survivors down</w:t>
      </w:r>
      <w:r w:rsidRPr="006E35F1">
        <w:rPr>
          <w:rFonts w:ascii="Century Gothic" w:hAnsi="Century Gothic"/>
          <w:sz w:val="20"/>
          <w:szCs w:val="20"/>
        </w:rPr>
        <w:t xml:space="preserve"> by attempting to smear their credibility in criminal proceedings.</w:t>
      </w:r>
    </w:p>
    <w:p w:rsidR="00DE4AF2" w:rsidRDefault="006E35F1" w:rsidP="00074758">
      <w:pPr>
        <w:numPr>
          <w:ilvl w:val="0"/>
          <w:numId w:val="4"/>
        </w:numPr>
        <w:spacing w:after="0" w:line="252" w:lineRule="auto"/>
        <w:rPr>
          <w:rFonts w:ascii="Century Gothic" w:hAnsi="Century Gothic"/>
          <w:sz w:val="20"/>
          <w:szCs w:val="20"/>
        </w:rPr>
      </w:pPr>
      <w:r w:rsidRPr="006E35F1">
        <w:rPr>
          <w:rFonts w:ascii="Century Gothic" w:hAnsi="Century Gothic"/>
          <w:sz w:val="20"/>
          <w:szCs w:val="20"/>
        </w:rPr>
        <w:t xml:space="preserve">Student conduct hearings are </w:t>
      </w:r>
      <w:r w:rsidRPr="006E35F1">
        <w:rPr>
          <w:rFonts w:ascii="Century Gothic" w:hAnsi="Century Gothic"/>
          <w:b/>
          <w:color w:val="006A71"/>
          <w:sz w:val="20"/>
          <w:szCs w:val="20"/>
        </w:rPr>
        <w:t>not courts of law</w:t>
      </w:r>
      <w:r w:rsidRPr="006E35F1">
        <w:rPr>
          <w:rFonts w:ascii="Century Gothic" w:hAnsi="Century Gothic"/>
          <w:sz w:val="20"/>
          <w:szCs w:val="20"/>
        </w:rPr>
        <w:t>, they are administrative hearings bases on a code of conduct applicable to the campus, not the broader society</w:t>
      </w:r>
    </w:p>
    <w:p w:rsidR="00FF17F3" w:rsidRPr="00074758" w:rsidRDefault="00DE4AF2" w:rsidP="00074758">
      <w:pPr>
        <w:numPr>
          <w:ilvl w:val="0"/>
          <w:numId w:val="4"/>
        </w:numPr>
        <w:spacing w:after="0" w:line="252" w:lineRule="auto"/>
        <w:rPr>
          <w:rFonts w:ascii="Century Gothic" w:hAnsi="Century Gothic"/>
          <w:sz w:val="20"/>
          <w:szCs w:val="20"/>
        </w:rPr>
      </w:pPr>
      <w:r>
        <w:rPr>
          <w:rFonts w:ascii="Century Gothic" w:hAnsi="Century Gothic"/>
          <w:sz w:val="20"/>
          <w:szCs w:val="20"/>
        </w:rPr>
        <w:t xml:space="preserve">If the State of Colorado decides to provide a right to active counsel in sexual assault proceedings where expulsion is a possibility, it should do so for all student disciplinary proceedings when expulsion is a possibility. Otherwise, singling out sexual assault proceedings would exacerbate the common misconception that schools should not investigate sexual assault, or that alleged perpetrators face greater risks in sexual assault proceedings than in other types of disciplinary hearings. </w:t>
      </w:r>
    </w:p>
    <w:p w:rsidR="00FF17F3" w:rsidRPr="00074758" w:rsidRDefault="00FF17F3" w:rsidP="00074758">
      <w:pPr>
        <w:numPr>
          <w:ilvl w:val="0"/>
          <w:numId w:val="4"/>
        </w:numPr>
        <w:spacing w:after="0" w:line="252" w:lineRule="auto"/>
        <w:rPr>
          <w:rFonts w:ascii="Century Gothic" w:hAnsi="Century Gothic"/>
          <w:b/>
          <w:color w:val="006A71"/>
          <w:sz w:val="20"/>
          <w:szCs w:val="20"/>
        </w:rPr>
      </w:pPr>
      <w:r>
        <w:rPr>
          <w:rFonts w:ascii="Century Gothic" w:hAnsi="Century Gothic"/>
          <w:sz w:val="20"/>
          <w:szCs w:val="20"/>
        </w:rPr>
        <w:t xml:space="preserve">It will become the battle of who has (or who can afford) the </w:t>
      </w:r>
      <w:r w:rsidRPr="00074758">
        <w:rPr>
          <w:rFonts w:ascii="Century Gothic" w:hAnsi="Century Gothic"/>
          <w:b/>
          <w:color w:val="006A71"/>
          <w:sz w:val="20"/>
          <w:szCs w:val="20"/>
        </w:rPr>
        <w:t>better lawyer</w:t>
      </w:r>
      <w:r w:rsidRPr="00074758">
        <w:rPr>
          <w:rFonts w:ascii="Century Gothic" w:hAnsi="Century Gothic"/>
          <w:color w:val="006A71"/>
          <w:sz w:val="20"/>
          <w:szCs w:val="20"/>
        </w:rPr>
        <w:t xml:space="preserve"> </w:t>
      </w:r>
      <w:r>
        <w:rPr>
          <w:rFonts w:ascii="Century Gothic" w:hAnsi="Century Gothic"/>
          <w:sz w:val="20"/>
          <w:szCs w:val="20"/>
        </w:rPr>
        <w:t xml:space="preserve">and </w:t>
      </w:r>
      <w:r w:rsidRPr="00074758">
        <w:rPr>
          <w:rFonts w:ascii="Century Gothic" w:hAnsi="Century Gothic"/>
          <w:b/>
          <w:color w:val="006A71"/>
          <w:sz w:val="20"/>
          <w:szCs w:val="20"/>
        </w:rPr>
        <w:t>not a truth seeking process</w:t>
      </w:r>
    </w:p>
    <w:p w:rsidR="006E35F1" w:rsidRPr="006E35F1" w:rsidRDefault="006E35F1" w:rsidP="00074758">
      <w:pPr>
        <w:spacing w:before="240"/>
        <w:rPr>
          <w:rFonts w:ascii="Century Gothic" w:hAnsi="Century Gothic"/>
          <w:b/>
          <w:bCs/>
          <w:sz w:val="20"/>
          <w:szCs w:val="20"/>
        </w:rPr>
      </w:pPr>
      <w:r w:rsidRPr="006E35F1">
        <w:rPr>
          <w:rFonts w:ascii="Century Gothic" w:hAnsi="Century Gothic"/>
          <w:b/>
          <w:bCs/>
          <w:sz w:val="20"/>
          <w:szCs w:val="20"/>
        </w:rPr>
        <w:t xml:space="preserve">Why </w:t>
      </w:r>
      <w:r>
        <w:rPr>
          <w:rFonts w:ascii="Century Gothic" w:hAnsi="Century Gothic"/>
          <w:b/>
          <w:bCs/>
          <w:sz w:val="20"/>
          <w:szCs w:val="20"/>
        </w:rPr>
        <w:t>is the</w:t>
      </w:r>
      <w:r w:rsidRPr="006E35F1">
        <w:rPr>
          <w:rFonts w:ascii="Century Gothic" w:hAnsi="Century Gothic"/>
          <w:b/>
          <w:bCs/>
          <w:sz w:val="20"/>
          <w:szCs w:val="20"/>
        </w:rPr>
        <w:t xml:space="preserve"> preponderance of the evidence </w:t>
      </w:r>
      <w:r>
        <w:rPr>
          <w:rFonts w:ascii="Century Gothic" w:hAnsi="Century Gothic"/>
          <w:b/>
          <w:bCs/>
          <w:sz w:val="20"/>
          <w:szCs w:val="20"/>
        </w:rPr>
        <w:t>the best standard?</w:t>
      </w:r>
    </w:p>
    <w:p w:rsidR="006E35F1" w:rsidRDefault="006E35F1" w:rsidP="006E35F1">
      <w:pPr>
        <w:numPr>
          <w:ilvl w:val="0"/>
          <w:numId w:val="5"/>
        </w:numPr>
        <w:spacing w:after="0" w:line="252" w:lineRule="auto"/>
        <w:rPr>
          <w:rFonts w:ascii="Century Gothic" w:hAnsi="Century Gothic"/>
          <w:sz w:val="20"/>
          <w:szCs w:val="20"/>
        </w:rPr>
      </w:pPr>
      <w:r w:rsidRPr="006E35F1">
        <w:rPr>
          <w:rFonts w:ascii="Century Gothic" w:hAnsi="Century Gothic"/>
          <w:sz w:val="20"/>
          <w:szCs w:val="20"/>
        </w:rPr>
        <w:t xml:space="preserve">Administrative conduct proceedings do not take away a student’s civil liberties, therefore anything higher than the preponderance of the evidence standard is </w:t>
      </w:r>
      <w:r w:rsidRPr="006E35F1">
        <w:rPr>
          <w:rFonts w:ascii="Century Gothic" w:hAnsi="Century Gothic"/>
          <w:b/>
          <w:color w:val="006A71"/>
          <w:sz w:val="20"/>
          <w:szCs w:val="20"/>
        </w:rPr>
        <w:t>inappropriate</w:t>
      </w:r>
    </w:p>
    <w:p w:rsidR="006E35F1" w:rsidRDefault="006E35F1" w:rsidP="00074758">
      <w:pPr>
        <w:numPr>
          <w:ilvl w:val="0"/>
          <w:numId w:val="5"/>
        </w:numPr>
        <w:spacing w:after="0" w:line="252" w:lineRule="auto"/>
        <w:rPr>
          <w:rFonts w:ascii="Century Gothic" w:hAnsi="Century Gothic"/>
          <w:sz w:val="20"/>
          <w:szCs w:val="20"/>
        </w:rPr>
      </w:pPr>
      <w:r w:rsidRPr="006E35F1">
        <w:rPr>
          <w:rFonts w:ascii="Century Gothic" w:hAnsi="Century Gothic"/>
          <w:sz w:val="20"/>
          <w:szCs w:val="20"/>
        </w:rPr>
        <w:t xml:space="preserve">POE is the only standard that doesn’t assume wrongdoing of either party – therefore it is the </w:t>
      </w:r>
      <w:r w:rsidRPr="006E35F1">
        <w:rPr>
          <w:rFonts w:ascii="Century Gothic" w:hAnsi="Century Gothic"/>
          <w:b/>
          <w:color w:val="006A71"/>
          <w:sz w:val="20"/>
          <w:szCs w:val="20"/>
        </w:rPr>
        <w:t xml:space="preserve">equitable </w:t>
      </w:r>
      <w:r w:rsidRPr="006E35F1">
        <w:rPr>
          <w:rFonts w:ascii="Century Gothic" w:hAnsi="Century Gothic"/>
          <w:sz w:val="20"/>
          <w:szCs w:val="20"/>
        </w:rPr>
        <w:t>standard</w:t>
      </w:r>
    </w:p>
    <w:p w:rsidR="008C6F24" w:rsidRDefault="008C6F24" w:rsidP="00074758">
      <w:pPr>
        <w:numPr>
          <w:ilvl w:val="0"/>
          <w:numId w:val="5"/>
        </w:numPr>
        <w:spacing w:after="0" w:line="252" w:lineRule="auto"/>
        <w:rPr>
          <w:rFonts w:ascii="Century Gothic" w:hAnsi="Century Gothic"/>
          <w:sz w:val="20"/>
          <w:szCs w:val="20"/>
        </w:rPr>
      </w:pPr>
      <w:r>
        <w:rPr>
          <w:rFonts w:ascii="Century Gothic" w:hAnsi="Century Gothic"/>
          <w:sz w:val="20"/>
          <w:szCs w:val="20"/>
        </w:rPr>
        <w:t xml:space="preserve">Nearly all administrative proceedings, like school disciplinary hearings and civil proceedings, use POE </w:t>
      </w:r>
    </w:p>
    <w:p w:rsidR="008C6F24" w:rsidRDefault="008C6F24" w:rsidP="00074758">
      <w:pPr>
        <w:numPr>
          <w:ilvl w:val="0"/>
          <w:numId w:val="5"/>
        </w:numPr>
        <w:spacing w:after="0" w:line="252" w:lineRule="auto"/>
        <w:rPr>
          <w:rFonts w:ascii="Century Gothic" w:hAnsi="Century Gothic"/>
          <w:sz w:val="20"/>
          <w:szCs w:val="20"/>
        </w:rPr>
      </w:pPr>
      <w:r>
        <w:rPr>
          <w:rFonts w:ascii="Century Gothic" w:hAnsi="Century Gothic"/>
          <w:sz w:val="20"/>
          <w:szCs w:val="20"/>
        </w:rPr>
        <w:t>To use a higher standard would assume that sexual assault is less serious than other code violations that use POE like physical assault and theft or other serious offenses in civil proceedings like wrongful death.</w:t>
      </w:r>
    </w:p>
    <w:p w:rsidR="008C6F24" w:rsidRDefault="008C6F24" w:rsidP="00074758">
      <w:pPr>
        <w:numPr>
          <w:ilvl w:val="0"/>
          <w:numId w:val="5"/>
        </w:numPr>
        <w:spacing w:after="0" w:line="252" w:lineRule="auto"/>
        <w:rPr>
          <w:rFonts w:ascii="Century Gothic" w:hAnsi="Century Gothic"/>
          <w:sz w:val="20"/>
          <w:szCs w:val="20"/>
        </w:rPr>
      </w:pPr>
      <w:r>
        <w:rPr>
          <w:rFonts w:ascii="Century Gothic" w:hAnsi="Century Gothic"/>
          <w:sz w:val="20"/>
          <w:szCs w:val="20"/>
        </w:rPr>
        <w:t xml:space="preserve">This is </w:t>
      </w:r>
      <w:r w:rsidRPr="00074758">
        <w:rPr>
          <w:rFonts w:ascii="Century Gothic" w:hAnsi="Century Gothic"/>
          <w:b/>
          <w:color w:val="006A71"/>
          <w:sz w:val="20"/>
          <w:szCs w:val="20"/>
        </w:rPr>
        <w:t>NOT a criminal law</w:t>
      </w:r>
      <w:r>
        <w:rPr>
          <w:rFonts w:ascii="Century Gothic" w:hAnsi="Century Gothic"/>
          <w:sz w:val="20"/>
          <w:szCs w:val="20"/>
        </w:rPr>
        <w:t xml:space="preserve"> meant to put rapists in prison. It is a civil law meant to </w:t>
      </w:r>
      <w:r w:rsidRPr="00074758">
        <w:rPr>
          <w:rFonts w:ascii="Century Gothic" w:hAnsi="Century Gothic"/>
          <w:b/>
          <w:color w:val="006A71"/>
          <w:sz w:val="20"/>
          <w:szCs w:val="20"/>
        </w:rPr>
        <w:t xml:space="preserve">ensure that all students have equal access to education. </w:t>
      </w:r>
      <w:r>
        <w:rPr>
          <w:rFonts w:ascii="Century Gothic" w:hAnsi="Century Gothic"/>
          <w:sz w:val="20"/>
          <w:szCs w:val="20"/>
        </w:rPr>
        <w:t xml:space="preserve">This law does not give schools the power to send offenders to prison, therefore a higher burden of proof would be </w:t>
      </w:r>
      <w:r w:rsidRPr="00074758">
        <w:rPr>
          <w:rFonts w:ascii="Century Gothic" w:hAnsi="Century Gothic"/>
          <w:b/>
          <w:color w:val="006A71"/>
          <w:sz w:val="20"/>
          <w:szCs w:val="20"/>
        </w:rPr>
        <w:t xml:space="preserve">unfair </w:t>
      </w:r>
      <w:r>
        <w:rPr>
          <w:rFonts w:ascii="Century Gothic" w:hAnsi="Century Gothic"/>
          <w:sz w:val="20"/>
          <w:szCs w:val="20"/>
        </w:rPr>
        <w:t xml:space="preserve">and </w:t>
      </w:r>
      <w:r w:rsidRPr="00074758">
        <w:rPr>
          <w:rFonts w:ascii="Century Gothic" w:hAnsi="Century Gothic"/>
          <w:b/>
          <w:color w:val="006A71"/>
          <w:sz w:val="20"/>
          <w:szCs w:val="20"/>
        </w:rPr>
        <w:t>inconsistent</w:t>
      </w:r>
      <w:r>
        <w:rPr>
          <w:rFonts w:ascii="Century Gothic" w:hAnsi="Century Gothic"/>
          <w:sz w:val="20"/>
          <w:szCs w:val="20"/>
        </w:rPr>
        <w:t xml:space="preserve">. </w:t>
      </w:r>
    </w:p>
    <w:p w:rsidR="00FF17F3" w:rsidRDefault="00FF17F3" w:rsidP="006E35F1">
      <w:pPr>
        <w:numPr>
          <w:ilvl w:val="0"/>
          <w:numId w:val="5"/>
        </w:numPr>
        <w:spacing w:line="252" w:lineRule="auto"/>
        <w:rPr>
          <w:rFonts w:ascii="Century Gothic" w:hAnsi="Century Gothic"/>
          <w:sz w:val="20"/>
          <w:szCs w:val="20"/>
        </w:rPr>
      </w:pPr>
      <w:r>
        <w:rPr>
          <w:rFonts w:ascii="Century Gothic" w:hAnsi="Century Gothic"/>
          <w:sz w:val="20"/>
          <w:szCs w:val="20"/>
        </w:rPr>
        <w:t xml:space="preserve">The </w:t>
      </w:r>
      <w:r w:rsidRPr="00FA7FA0">
        <w:rPr>
          <w:rFonts w:ascii="Century Gothic" w:hAnsi="Century Gothic"/>
          <w:b/>
          <w:color w:val="006A71"/>
          <w:sz w:val="20"/>
          <w:szCs w:val="20"/>
        </w:rPr>
        <w:t>stakes are just as high for the complainant</w:t>
      </w:r>
      <w:r w:rsidRPr="00FA7FA0">
        <w:rPr>
          <w:rFonts w:ascii="Century Gothic" w:hAnsi="Century Gothic"/>
          <w:color w:val="006A71"/>
          <w:sz w:val="20"/>
          <w:szCs w:val="20"/>
        </w:rPr>
        <w:t xml:space="preserve"> </w:t>
      </w:r>
      <w:r>
        <w:rPr>
          <w:rFonts w:ascii="Century Gothic" w:hAnsi="Century Gothic"/>
          <w:sz w:val="20"/>
          <w:szCs w:val="20"/>
        </w:rPr>
        <w:t>as they are for respondents since the decision of whether to stay in school is often largely dependent on the outcome of the conduct process</w:t>
      </w:r>
    </w:p>
    <w:p w:rsidR="00FF17F3" w:rsidRDefault="00FF17F3" w:rsidP="00FF17F3">
      <w:pPr>
        <w:numPr>
          <w:ilvl w:val="0"/>
          <w:numId w:val="5"/>
        </w:numPr>
        <w:spacing w:after="0" w:line="252" w:lineRule="auto"/>
        <w:rPr>
          <w:rFonts w:ascii="Century Gothic" w:hAnsi="Century Gothic"/>
          <w:sz w:val="20"/>
          <w:szCs w:val="20"/>
        </w:rPr>
      </w:pPr>
      <w:r>
        <w:rPr>
          <w:rFonts w:ascii="Century Gothic" w:hAnsi="Century Gothic"/>
          <w:sz w:val="20"/>
          <w:szCs w:val="20"/>
        </w:rPr>
        <w:lastRenderedPageBreak/>
        <w:t xml:space="preserve">POE is the only standard that is </w:t>
      </w:r>
      <w:r w:rsidRPr="00FA7FA0">
        <w:rPr>
          <w:rFonts w:ascii="Century Gothic" w:hAnsi="Century Gothic"/>
          <w:b/>
          <w:color w:val="006A71"/>
          <w:sz w:val="20"/>
          <w:szCs w:val="20"/>
        </w:rPr>
        <w:t>constitutionally firm</w:t>
      </w:r>
      <w:r w:rsidRPr="00FA7FA0">
        <w:rPr>
          <w:rFonts w:ascii="Century Gothic" w:hAnsi="Century Gothic"/>
          <w:color w:val="006A71"/>
          <w:sz w:val="20"/>
          <w:szCs w:val="20"/>
        </w:rPr>
        <w:t xml:space="preserve"> </w:t>
      </w:r>
      <w:r>
        <w:rPr>
          <w:rFonts w:ascii="Century Gothic" w:hAnsi="Century Gothic"/>
          <w:sz w:val="20"/>
          <w:szCs w:val="20"/>
        </w:rPr>
        <w:t>and doesn’t discriminate against either party</w:t>
      </w:r>
    </w:p>
    <w:p w:rsidR="00FF17F3" w:rsidRDefault="00FF17F3" w:rsidP="00FF17F3">
      <w:pPr>
        <w:numPr>
          <w:ilvl w:val="0"/>
          <w:numId w:val="5"/>
        </w:numPr>
        <w:spacing w:after="0" w:line="252" w:lineRule="auto"/>
        <w:rPr>
          <w:rFonts w:ascii="Century Gothic" w:hAnsi="Century Gothic"/>
          <w:sz w:val="20"/>
          <w:szCs w:val="20"/>
        </w:rPr>
      </w:pPr>
      <w:r>
        <w:rPr>
          <w:rFonts w:ascii="Century Gothic" w:hAnsi="Century Gothic"/>
          <w:sz w:val="20"/>
          <w:szCs w:val="20"/>
        </w:rPr>
        <w:t xml:space="preserve">Anything higher than POE sends a message that the complainant’s voice </w:t>
      </w:r>
      <w:r w:rsidRPr="00FA7FA0">
        <w:rPr>
          <w:rFonts w:ascii="Century Gothic" w:hAnsi="Century Gothic"/>
          <w:b/>
          <w:color w:val="006A71"/>
          <w:sz w:val="20"/>
          <w:szCs w:val="20"/>
        </w:rPr>
        <w:t xml:space="preserve">carries less weight </w:t>
      </w:r>
      <w:r>
        <w:rPr>
          <w:rFonts w:ascii="Century Gothic" w:hAnsi="Century Gothic"/>
          <w:sz w:val="20"/>
          <w:szCs w:val="20"/>
        </w:rPr>
        <w:t xml:space="preserve">than the respondents. </w:t>
      </w:r>
    </w:p>
    <w:p w:rsidR="00FF17F3" w:rsidRDefault="00FF17F3" w:rsidP="00FF17F3">
      <w:pPr>
        <w:numPr>
          <w:ilvl w:val="0"/>
          <w:numId w:val="5"/>
        </w:numPr>
        <w:spacing w:after="0" w:line="252" w:lineRule="auto"/>
        <w:rPr>
          <w:rFonts w:ascii="Century Gothic" w:hAnsi="Century Gothic"/>
          <w:sz w:val="20"/>
          <w:szCs w:val="20"/>
        </w:rPr>
      </w:pPr>
      <w:r>
        <w:rPr>
          <w:rFonts w:ascii="Century Gothic" w:hAnsi="Century Gothic"/>
          <w:sz w:val="20"/>
          <w:szCs w:val="20"/>
        </w:rPr>
        <w:t xml:space="preserve">Puts schools in the </w:t>
      </w:r>
      <w:r w:rsidRPr="00FA7FA0">
        <w:rPr>
          <w:rFonts w:ascii="Century Gothic" w:hAnsi="Century Gothic"/>
          <w:b/>
          <w:color w:val="006A71"/>
          <w:sz w:val="20"/>
          <w:szCs w:val="20"/>
        </w:rPr>
        <w:t>impossible position</w:t>
      </w:r>
      <w:r w:rsidRPr="00FA7FA0">
        <w:rPr>
          <w:rFonts w:ascii="Century Gothic" w:hAnsi="Century Gothic"/>
          <w:color w:val="006A71"/>
          <w:sz w:val="20"/>
          <w:szCs w:val="20"/>
        </w:rPr>
        <w:t xml:space="preserve"> </w:t>
      </w:r>
      <w:r>
        <w:rPr>
          <w:rFonts w:ascii="Century Gothic" w:hAnsi="Century Gothic"/>
          <w:sz w:val="20"/>
          <w:szCs w:val="20"/>
        </w:rPr>
        <w:t xml:space="preserve">of having cases where they believe that it is more likely that a student committed a violent crime but can take no action to protect other students on Campus </w:t>
      </w:r>
    </w:p>
    <w:p w:rsidR="00FF17F3" w:rsidRDefault="00FF17F3" w:rsidP="00FF17F3">
      <w:pPr>
        <w:numPr>
          <w:ilvl w:val="0"/>
          <w:numId w:val="5"/>
        </w:numPr>
        <w:spacing w:after="0" w:line="252" w:lineRule="auto"/>
        <w:rPr>
          <w:rFonts w:ascii="Century Gothic" w:hAnsi="Century Gothic"/>
          <w:sz w:val="20"/>
          <w:szCs w:val="20"/>
        </w:rPr>
      </w:pPr>
      <w:r>
        <w:rPr>
          <w:rFonts w:ascii="Century Gothic" w:hAnsi="Century Gothic"/>
          <w:sz w:val="20"/>
          <w:szCs w:val="20"/>
        </w:rPr>
        <w:t xml:space="preserve">A higher standard would </w:t>
      </w:r>
      <w:r w:rsidRPr="00FA7FA0">
        <w:rPr>
          <w:rFonts w:ascii="Century Gothic" w:hAnsi="Century Gothic"/>
          <w:b/>
          <w:color w:val="006A71"/>
          <w:sz w:val="20"/>
          <w:szCs w:val="20"/>
        </w:rPr>
        <w:t>fundamentally work against</w:t>
      </w:r>
      <w:r w:rsidRPr="00FA7FA0">
        <w:rPr>
          <w:rFonts w:ascii="Century Gothic" w:hAnsi="Century Gothic"/>
          <w:color w:val="006A71"/>
          <w:sz w:val="20"/>
          <w:szCs w:val="20"/>
        </w:rPr>
        <w:t xml:space="preserve"> </w:t>
      </w:r>
      <w:r>
        <w:rPr>
          <w:rFonts w:ascii="Century Gothic" w:hAnsi="Century Gothic"/>
          <w:sz w:val="20"/>
          <w:szCs w:val="20"/>
        </w:rPr>
        <w:t>those whose credibility is most likely questioned including LGBTQW and students of color</w:t>
      </w:r>
    </w:p>
    <w:p w:rsidR="00FF17F3" w:rsidRDefault="00FF17F3" w:rsidP="00074758">
      <w:pPr>
        <w:spacing w:line="252" w:lineRule="auto"/>
        <w:ind w:left="720"/>
        <w:rPr>
          <w:rFonts w:ascii="Century Gothic" w:hAnsi="Century Gothic"/>
          <w:sz w:val="20"/>
          <w:szCs w:val="20"/>
        </w:rPr>
      </w:pPr>
    </w:p>
    <w:p w:rsidR="006E35F1" w:rsidRPr="008C6F24" w:rsidRDefault="006E35F1" w:rsidP="00F93A17">
      <w:pPr>
        <w:rPr>
          <w:rFonts w:ascii="Century Gothic" w:hAnsi="Century Gothic"/>
          <w:b/>
          <w:bCs/>
          <w:sz w:val="20"/>
          <w:szCs w:val="20"/>
        </w:rPr>
      </w:pPr>
      <w:r w:rsidRPr="008C6F24">
        <w:rPr>
          <w:rFonts w:ascii="Century Gothic" w:hAnsi="Century Gothic"/>
          <w:b/>
          <w:bCs/>
          <w:sz w:val="20"/>
          <w:szCs w:val="20"/>
        </w:rPr>
        <w:t>Why doesn’t the bill select and mandate an Investigation Model?</w:t>
      </w:r>
    </w:p>
    <w:p w:rsidR="006E35F1" w:rsidRPr="006E35F1" w:rsidRDefault="006E35F1" w:rsidP="006E35F1">
      <w:pPr>
        <w:pStyle w:val="ListParagraph"/>
        <w:numPr>
          <w:ilvl w:val="0"/>
          <w:numId w:val="6"/>
        </w:numPr>
        <w:spacing w:after="0" w:line="240" w:lineRule="auto"/>
        <w:contextualSpacing w:val="0"/>
        <w:rPr>
          <w:rFonts w:ascii="Century Gothic" w:hAnsi="Century Gothic"/>
          <w:sz w:val="20"/>
          <w:szCs w:val="20"/>
        </w:rPr>
      </w:pPr>
      <w:r w:rsidRPr="006E35F1">
        <w:rPr>
          <w:rFonts w:ascii="Century Gothic" w:hAnsi="Century Gothic"/>
          <w:sz w:val="20"/>
          <w:szCs w:val="20"/>
        </w:rPr>
        <w:t xml:space="preserve">Campus Advocates and Title IX coordinators throughout the state have seen success in a </w:t>
      </w:r>
      <w:r w:rsidRPr="006E35F1">
        <w:rPr>
          <w:rFonts w:ascii="Century Gothic" w:hAnsi="Century Gothic"/>
          <w:b/>
          <w:color w:val="006A71"/>
          <w:sz w:val="20"/>
          <w:szCs w:val="20"/>
        </w:rPr>
        <w:t xml:space="preserve">variety </w:t>
      </w:r>
      <w:r w:rsidRPr="006E35F1">
        <w:rPr>
          <w:rFonts w:ascii="Century Gothic" w:hAnsi="Century Gothic"/>
          <w:sz w:val="20"/>
          <w:szCs w:val="20"/>
        </w:rPr>
        <w:t>of investigation models</w:t>
      </w:r>
    </w:p>
    <w:p w:rsidR="006E35F1" w:rsidRPr="006E35F1" w:rsidRDefault="006E35F1" w:rsidP="006E35F1">
      <w:pPr>
        <w:pStyle w:val="ListParagraph"/>
        <w:numPr>
          <w:ilvl w:val="0"/>
          <w:numId w:val="6"/>
        </w:numPr>
        <w:spacing w:line="240" w:lineRule="auto"/>
        <w:contextualSpacing w:val="0"/>
        <w:rPr>
          <w:rFonts w:ascii="Century Gothic" w:hAnsi="Century Gothic"/>
          <w:b/>
          <w:color w:val="006A71"/>
          <w:sz w:val="20"/>
          <w:szCs w:val="20"/>
        </w:rPr>
      </w:pPr>
      <w:r w:rsidRPr="006E35F1">
        <w:rPr>
          <w:rFonts w:ascii="Century Gothic" w:hAnsi="Century Gothic"/>
          <w:sz w:val="20"/>
          <w:szCs w:val="20"/>
        </w:rPr>
        <w:t xml:space="preserve">We didn’t want to dictate a certain model because campus throughout the state have their own </w:t>
      </w:r>
      <w:r w:rsidRPr="006E35F1">
        <w:rPr>
          <w:rFonts w:ascii="Century Gothic" w:hAnsi="Century Gothic"/>
          <w:b/>
          <w:color w:val="006A71"/>
          <w:sz w:val="20"/>
          <w:szCs w:val="20"/>
        </w:rPr>
        <w:t xml:space="preserve">unique campus communities, needs, and available resources </w:t>
      </w:r>
    </w:p>
    <w:p w:rsidR="006E35F1" w:rsidRPr="006E35F1" w:rsidRDefault="006E35F1" w:rsidP="006E35F1">
      <w:pPr>
        <w:rPr>
          <w:rFonts w:ascii="Century Gothic" w:hAnsi="Century Gothic"/>
          <w:b/>
          <w:bCs/>
          <w:sz w:val="20"/>
          <w:szCs w:val="20"/>
        </w:rPr>
      </w:pPr>
      <w:r w:rsidRPr="006E35F1">
        <w:rPr>
          <w:rFonts w:ascii="Century Gothic" w:hAnsi="Century Gothic"/>
          <w:b/>
          <w:bCs/>
          <w:sz w:val="20"/>
          <w:szCs w:val="20"/>
        </w:rPr>
        <w:t xml:space="preserve">Why </w:t>
      </w:r>
      <w:r>
        <w:rPr>
          <w:rFonts w:ascii="Century Gothic" w:hAnsi="Century Gothic"/>
          <w:b/>
          <w:bCs/>
          <w:sz w:val="20"/>
          <w:szCs w:val="20"/>
        </w:rPr>
        <w:t>doesn’t the</w:t>
      </w:r>
      <w:r w:rsidRPr="006E35F1">
        <w:rPr>
          <w:rFonts w:ascii="Century Gothic" w:hAnsi="Century Gothic"/>
          <w:b/>
          <w:bCs/>
          <w:sz w:val="20"/>
          <w:szCs w:val="20"/>
        </w:rPr>
        <w:t xml:space="preserve"> bill mandate that all insti</w:t>
      </w:r>
      <w:r>
        <w:rPr>
          <w:rFonts w:ascii="Century Gothic" w:hAnsi="Century Gothic"/>
          <w:b/>
          <w:bCs/>
          <w:sz w:val="20"/>
          <w:szCs w:val="20"/>
        </w:rPr>
        <w:t>tutions have an Appeals process?</w:t>
      </w:r>
    </w:p>
    <w:p w:rsidR="006E35F1" w:rsidRPr="006E35F1" w:rsidRDefault="006E35F1" w:rsidP="006E35F1">
      <w:pPr>
        <w:pStyle w:val="ListParagraph"/>
        <w:numPr>
          <w:ilvl w:val="0"/>
          <w:numId w:val="7"/>
        </w:numPr>
        <w:spacing w:after="0" w:line="240" w:lineRule="auto"/>
        <w:contextualSpacing w:val="0"/>
        <w:rPr>
          <w:rFonts w:ascii="Century Gothic" w:hAnsi="Century Gothic"/>
          <w:sz w:val="20"/>
          <w:szCs w:val="20"/>
        </w:rPr>
      </w:pPr>
      <w:r w:rsidRPr="006E35F1">
        <w:rPr>
          <w:rFonts w:ascii="Century Gothic" w:hAnsi="Century Gothic"/>
          <w:sz w:val="20"/>
          <w:szCs w:val="20"/>
        </w:rPr>
        <w:t xml:space="preserve">Our original focus for the bill was to create </w:t>
      </w:r>
      <w:r w:rsidRPr="006E35F1">
        <w:rPr>
          <w:rFonts w:ascii="Century Gothic" w:hAnsi="Century Gothic"/>
          <w:b/>
          <w:color w:val="006A71"/>
          <w:sz w:val="20"/>
          <w:szCs w:val="20"/>
        </w:rPr>
        <w:t xml:space="preserve">equitable standards </w:t>
      </w:r>
      <w:r w:rsidRPr="006E35F1">
        <w:rPr>
          <w:rFonts w:ascii="Century Gothic" w:hAnsi="Century Gothic"/>
          <w:sz w:val="20"/>
          <w:szCs w:val="20"/>
        </w:rPr>
        <w:t>in the current process, such as ensuring if schools did have an appeals process that both the complainant and respondent would have equal access to that process.</w:t>
      </w:r>
    </w:p>
    <w:p w:rsidR="006E35F1" w:rsidRPr="006E35F1" w:rsidRDefault="006E35F1" w:rsidP="006E35F1">
      <w:pPr>
        <w:pStyle w:val="ListParagraph"/>
        <w:numPr>
          <w:ilvl w:val="0"/>
          <w:numId w:val="7"/>
        </w:numPr>
        <w:spacing w:after="0" w:line="240" w:lineRule="auto"/>
        <w:contextualSpacing w:val="0"/>
        <w:rPr>
          <w:rFonts w:ascii="Century Gothic" w:hAnsi="Century Gothic"/>
          <w:sz w:val="20"/>
          <w:szCs w:val="20"/>
        </w:rPr>
      </w:pPr>
      <w:r w:rsidRPr="006E35F1">
        <w:rPr>
          <w:rFonts w:ascii="Century Gothic" w:hAnsi="Century Gothic"/>
          <w:sz w:val="20"/>
          <w:szCs w:val="20"/>
        </w:rPr>
        <w:t xml:space="preserve">Because not all schools offer an appeals process we believe addressing the specifics of appeals would need to be its own separate bill. Our bill was about </w:t>
      </w:r>
      <w:r w:rsidRPr="006E35F1">
        <w:rPr>
          <w:rFonts w:ascii="Century Gothic" w:hAnsi="Century Gothic"/>
          <w:b/>
          <w:color w:val="006A71"/>
          <w:sz w:val="20"/>
          <w:szCs w:val="20"/>
        </w:rPr>
        <w:t>establishing fairness</w:t>
      </w:r>
      <w:r w:rsidRPr="006E35F1">
        <w:rPr>
          <w:rFonts w:ascii="Century Gothic" w:hAnsi="Century Gothic"/>
          <w:color w:val="006A71"/>
          <w:sz w:val="20"/>
          <w:szCs w:val="20"/>
        </w:rPr>
        <w:t xml:space="preserve"> </w:t>
      </w:r>
      <w:r w:rsidRPr="006E35F1">
        <w:rPr>
          <w:rFonts w:ascii="Century Gothic" w:hAnsi="Century Gothic"/>
          <w:sz w:val="20"/>
          <w:szCs w:val="20"/>
        </w:rPr>
        <w:t>in current practice.</w:t>
      </w:r>
    </w:p>
    <w:p w:rsidR="00EF559F" w:rsidRPr="006E35F1" w:rsidRDefault="00EF559F" w:rsidP="006E35F1">
      <w:pPr>
        <w:jc w:val="center"/>
        <w:rPr>
          <w:rFonts w:ascii="Century Gothic" w:hAnsi="Century Gothic"/>
          <w:sz w:val="20"/>
          <w:szCs w:val="20"/>
        </w:rPr>
      </w:pPr>
      <w:bookmarkStart w:id="0" w:name="_GoBack"/>
      <w:bookmarkEnd w:id="0"/>
    </w:p>
    <w:sectPr w:rsidR="00EF559F" w:rsidRPr="006E35F1" w:rsidSect="00DB3A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14F" w:rsidRDefault="008B714F" w:rsidP="00D846FE">
      <w:pPr>
        <w:spacing w:after="0" w:line="240" w:lineRule="auto"/>
      </w:pPr>
      <w:r>
        <w:separator/>
      </w:r>
    </w:p>
  </w:endnote>
  <w:endnote w:type="continuationSeparator" w:id="0">
    <w:p w:rsidR="008B714F" w:rsidRDefault="008B714F" w:rsidP="00D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Futura Bk BT">
    <w:panose1 w:val="020B0502020204020303"/>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94" w:rsidRPr="00835C78" w:rsidRDefault="007C7E94" w:rsidP="00835C78">
    <w:pPr>
      <w:pStyle w:val="Footer"/>
      <w:jc w:val="center"/>
      <w:rPr>
        <w:rFonts w:ascii="Futura Bk BT" w:hAnsi="Futura Bk BT"/>
        <w:b/>
        <w:bCs/>
        <w:sz w:val="18"/>
        <w:szCs w:val="18"/>
      </w:rPr>
    </w:pPr>
    <w:r w:rsidRPr="00835C78">
      <w:rPr>
        <w:rFonts w:ascii="Futura Bk BT" w:hAnsi="Futura Bk BT"/>
        <w:b/>
        <w:bCs/>
        <w:sz w:val="18"/>
        <w:szCs w:val="18"/>
      </w:rPr>
      <w:t>For more information, please contact:</w:t>
    </w:r>
  </w:p>
  <w:p w:rsidR="00632B12" w:rsidRDefault="00835C78" w:rsidP="00835C78">
    <w:pPr>
      <w:pStyle w:val="Footer"/>
      <w:jc w:val="center"/>
      <w:rPr>
        <w:rFonts w:ascii="Futura Bk BT" w:hAnsi="Futura Bk BT"/>
        <w:sz w:val="18"/>
        <w:szCs w:val="18"/>
      </w:rPr>
    </w:pPr>
    <w:r w:rsidRPr="00835C78">
      <w:rPr>
        <w:rFonts w:ascii="Futura Bk BT" w:hAnsi="Futura Bk BT"/>
        <w:sz w:val="18"/>
        <w:szCs w:val="18"/>
      </w:rPr>
      <w:t>Eliza Schultz, President, Schultz</w:t>
    </w:r>
    <w:r w:rsidR="007C7E94" w:rsidRPr="00835C78">
      <w:rPr>
        <w:rFonts w:ascii="Futura Bk BT" w:hAnsi="Futura Bk BT"/>
        <w:sz w:val="18"/>
        <w:szCs w:val="18"/>
      </w:rPr>
      <w:t xml:space="preserve"> Public Affai</w:t>
    </w:r>
    <w:r w:rsidRPr="00835C78">
      <w:rPr>
        <w:rFonts w:ascii="Futura Bk BT" w:hAnsi="Futura Bk BT"/>
        <w:sz w:val="18"/>
        <w:szCs w:val="18"/>
      </w:rPr>
      <w:t xml:space="preserve">rs at </w:t>
    </w:r>
    <w:hyperlink r:id="rId1" w:history="1">
      <w:r w:rsidRPr="00835C78">
        <w:rPr>
          <w:rStyle w:val="Hyperlink"/>
          <w:rFonts w:ascii="Futura Bk BT" w:hAnsi="Futura Bk BT"/>
          <w:sz w:val="18"/>
          <w:szCs w:val="18"/>
        </w:rPr>
        <w:t>Eliza@SchultzPA.com</w:t>
      </w:r>
    </w:hyperlink>
    <w:r w:rsidRPr="00835C78">
      <w:rPr>
        <w:rFonts w:ascii="Futura Bk BT" w:hAnsi="Futura Bk BT"/>
        <w:sz w:val="18"/>
        <w:szCs w:val="18"/>
      </w:rPr>
      <w:t xml:space="preserve"> or 720-732-0217</w:t>
    </w:r>
  </w:p>
  <w:p w:rsidR="007C7E94" w:rsidRPr="00835C78" w:rsidRDefault="00632B12" w:rsidP="00835C78">
    <w:pPr>
      <w:pStyle w:val="Footer"/>
      <w:jc w:val="center"/>
      <w:rPr>
        <w:rFonts w:ascii="Futura Bk BT" w:hAnsi="Futura Bk BT"/>
      </w:rPr>
    </w:pPr>
    <w:r>
      <w:rPr>
        <w:rFonts w:ascii="Futura Bk BT" w:hAnsi="Futura Bk BT"/>
        <w:sz w:val="18"/>
        <w:szCs w:val="18"/>
      </w:rPr>
      <w:t xml:space="preserve">Jennifer Corrigan, Summit Policy Works, </w:t>
    </w:r>
    <w:hyperlink r:id="rId2" w:history="1">
      <w:r w:rsidRPr="00BD483F">
        <w:rPr>
          <w:rStyle w:val="Hyperlink"/>
          <w:rFonts w:ascii="Futura Bk BT" w:hAnsi="Futura Bk BT"/>
          <w:sz w:val="18"/>
          <w:szCs w:val="18"/>
        </w:rPr>
        <w:t>Jennifer@summitpolicyworks.com</w:t>
      </w:r>
    </w:hyperlink>
    <w:r>
      <w:rPr>
        <w:rFonts w:ascii="Futura Bk BT" w:hAnsi="Futura Bk BT"/>
        <w:sz w:val="18"/>
        <w:szCs w:val="18"/>
      </w:rPr>
      <w:t>, 720-243-9511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14F" w:rsidRDefault="008B714F" w:rsidP="00D846FE">
      <w:pPr>
        <w:spacing w:after="0" w:line="240" w:lineRule="auto"/>
      </w:pPr>
      <w:r>
        <w:separator/>
      </w:r>
    </w:p>
  </w:footnote>
  <w:footnote w:type="continuationSeparator" w:id="0">
    <w:p w:rsidR="008B714F" w:rsidRDefault="008B714F" w:rsidP="00D84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2A" w:rsidRDefault="00632B12" w:rsidP="0017102A">
    <w:pPr>
      <w:pStyle w:val="Header"/>
      <w:jc w:val="center"/>
      <w:rPr>
        <w:rFonts w:ascii="Futura Bk BT" w:hAnsi="Futura Bk BT"/>
      </w:rPr>
    </w:pPr>
    <w:r>
      <w:rPr>
        <w:rFonts w:ascii="Futura Bk BT" w:hAnsi="Futura Bk BT"/>
        <w:noProof/>
        <w:sz w:val="32"/>
        <w:szCs w:val="32"/>
      </w:rPr>
      <w:drawing>
        <wp:anchor distT="0" distB="0" distL="114300" distR="114300" simplePos="0" relativeHeight="251658240" behindDoc="0" locked="0" layoutInCell="1" allowOverlap="1" wp14:anchorId="1C44104E" wp14:editId="7A323190">
          <wp:simplePos x="0" y="0"/>
          <wp:positionH relativeFrom="margin">
            <wp:align>left</wp:align>
          </wp:positionH>
          <wp:positionV relativeFrom="paragraph">
            <wp:posOffset>-98351</wp:posOffset>
          </wp:positionV>
          <wp:extent cx="1409700" cy="850900"/>
          <wp:effectExtent l="0" t="0" r="0" b="6350"/>
          <wp:wrapSquare wrapText="bothSides"/>
          <wp:docPr id="5" name="Picture 5" descr="Colorado Coalition Against Sexual Ass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ado Coalition Against Sexual Assau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50900"/>
                  </a:xfrm>
                  <a:prstGeom prst="rect">
                    <a:avLst/>
                  </a:prstGeom>
                  <a:noFill/>
                  <a:ln>
                    <a:noFill/>
                  </a:ln>
                </pic:spPr>
              </pic:pic>
            </a:graphicData>
          </a:graphic>
        </wp:anchor>
      </w:drawing>
    </w:r>
    <w:r w:rsidR="0017102A">
      <w:rPr>
        <w:rFonts w:ascii="Futura Bk BT" w:hAnsi="Futura Bk BT"/>
        <w:sz w:val="30"/>
        <w:szCs w:val="32"/>
      </w:rPr>
      <w:t>HB18-1391</w:t>
    </w:r>
    <w:r w:rsidR="007C7E94" w:rsidRPr="00632B12">
      <w:rPr>
        <w:rFonts w:ascii="Futura Bk BT" w:hAnsi="Futura Bk BT"/>
        <w:sz w:val="30"/>
        <w:szCs w:val="32"/>
      </w:rPr>
      <w:t>: Concern</w:t>
    </w:r>
    <w:r w:rsidR="0017102A">
      <w:rPr>
        <w:rFonts w:ascii="Futura Bk BT" w:hAnsi="Futura Bk BT"/>
        <w:sz w:val="30"/>
        <w:szCs w:val="32"/>
      </w:rPr>
      <w:t xml:space="preserve">ing Sexual Misconduct in Higher </w:t>
    </w:r>
    <w:r w:rsidR="005377A9">
      <w:rPr>
        <w:rFonts w:ascii="Futura Bk BT" w:hAnsi="Futura Bk BT"/>
        <w:sz w:val="30"/>
        <w:szCs w:val="32"/>
      </w:rPr>
      <w:t>Education FAQ’s</w:t>
    </w:r>
    <w:r>
      <w:rPr>
        <w:rFonts w:ascii="Futura Bk BT" w:hAnsi="Futura Bk BT"/>
      </w:rPr>
      <w:t xml:space="preserve"> </w:t>
    </w:r>
  </w:p>
  <w:p w:rsidR="00D846FE" w:rsidRPr="0017102A" w:rsidRDefault="0017102A" w:rsidP="0017102A">
    <w:pPr>
      <w:pStyle w:val="Header"/>
      <w:jc w:val="center"/>
      <w:rPr>
        <w:rFonts w:ascii="Futura Bk BT" w:hAnsi="Futura Bk BT"/>
        <w:sz w:val="20"/>
      </w:rPr>
    </w:pPr>
    <w:r>
      <w:rPr>
        <w:rFonts w:ascii="Futura Bk BT" w:hAnsi="Futura Bk BT"/>
      </w:rPr>
      <w:t>S</w:t>
    </w:r>
    <w:r w:rsidR="007C7E94" w:rsidRPr="00632B12">
      <w:rPr>
        <w:rFonts w:ascii="Futura Bk BT" w:hAnsi="Futura Bk BT"/>
        <w:sz w:val="20"/>
      </w:rPr>
      <w:t xml:space="preserve">ponsors: Speaker Duran, Representative Winter, Senator Martinez </w:t>
    </w:r>
    <w:proofErr w:type="spellStart"/>
    <w:r w:rsidR="007C7E94" w:rsidRPr="00632B12">
      <w:rPr>
        <w:rFonts w:ascii="Futura Bk BT" w:hAnsi="Futura Bk BT"/>
        <w:sz w:val="20"/>
      </w:rPr>
      <w:t>Humenik</w:t>
    </w:r>
    <w:proofErr w:type="spellEnd"/>
    <w:r w:rsidR="007C7E94" w:rsidRPr="00632B12">
      <w:rPr>
        <w:rFonts w:ascii="Futura Bk BT" w:hAnsi="Futura Bk BT"/>
        <w:sz w:val="20"/>
      </w:rPr>
      <w:t>, and</w:t>
    </w:r>
    <w:r>
      <w:rPr>
        <w:rFonts w:ascii="Futura Bk BT" w:hAnsi="Futura Bk BT"/>
        <w:sz w:val="20"/>
      </w:rPr>
      <w:t xml:space="preserve"> </w:t>
    </w:r>
    <w:r w:rsidR="007C7E94" w:rsidRPr="00632B12">
      <w:rPr>
        <w:rFonts w:ascii="Futura Bk BT" w:hAnsi="Futura Bk BT"/>
        <w:sz w:val="20"/>
      </w:rPr>
      <w:t>Senator Kerr</w:t>
    </w:r>
  </w:p>
  <w:p w:rsidR="007C7E94" w:rsidRPr="00835C78" w:rsidRDefault="007C7E94" w:rsidP="007C7E94">
    <w:pPr>
      <w:pStyle w:val="Header"/>
      <w:rPr>
        <w:rFonts w:ascii="Futura Bk BT" w:hAnsi="Futura Bk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9B2"/>
    <w:multiLevelType w:val="multilevel"/>
    <w:tmpl w:val="12A6F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6655C"/>
    <w:multiLevelType w:val="multilevel"/>
    <w:tmpl w:val="12A6F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CA6464"/>
    <w:multiLevelType w:val="multilevel"/>
    <w:tmpl w:val="12A6F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C108D"/>
    <w:multiLevelType w:val="hybridMultilevel"/>
    <w:tmpl w:val="667A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D518B"/>
    <w:multiLevelType w:val="multilevel"/>
    <w:tmpl w:val="12A6F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CD237A"/>
    <w:multiLevelType w:val="multilevel"/>
    <w:tmpl w:val="740C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5E1E4B"/>
    <w:multiLevelType w:val="hybridMultilevel"/>
    <w:tmpl w:val="CDC8F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B0D03"/>
    <w:multiLevelType w:val="multilevel"/>
    <w:tmpl w:val="12A6F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876482"/>
    <w:multiLevelType w:val="hybridMultilevel"/>
    <w:tmpl w:val="16DA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7"/>
  </w:num>
  <w:num w:numId="6">
    <w:abstractNumId w:val="2"/>
  </w:num>
  <w:num w:numId="7">
    <w:abstractNumId w:val="4"/>
  </w:num>
  <w:num w:numId="8">
    <w:abstractNumId w:val="1"/>
  </w:num>
  <w:num w:numId="9">
    <w:abstractNumId w:val="5"/>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3A"/>
    <w:rsid w:val="0002397E"/>
    <w:rsid w:val="00074758"/>
    <w:rsid w:val="0017102A"/>
    <w:rsid w:val="00176976"/>
    <w:rsid w:val="001E3E58"/>
    <w:rsid w:val="00285E7D"/>
    <w:rsid w:val="002B3BFB"/>
    <w:rsid w:val="003D0C6A"/>
    <w:rsid w:val="00403F33"/>
    <w:rsid w:val="004549D8"/>
    <w:rsid w:val="00485912"/>
    <w:rsid w:val="005377A9"/>
    <w:rsid w:val="00622AE2"/>
    <w:rsid w:val="00632B12"/>
    <w:rsid w:val="006E35F1"/>
    <w:rsid w:val="007C7E94"/>
    <w:rsid w:val="00804F34"/>
    <w:rsid w:val="00835C78"/>
    <w:rsid w:val="008B714F"/>
    <w:rsid w:val="008C6F24"/>
    <w:rsid w:val="008E5B3A"/>
    <w:rsid w:val="00A24251"/>
    <w:rsid w:val="00A431B5"/>
    <w:rsid w:val="00AF16F5"/>
    <w:rsid w:val="00C4576F"/>
    <w:rsid w:val="00CE076A"/>
    <w:rsid w:val="00D17DEF"/>
    <w:rsid w:val="00D77F91"/>
    <w:rsid w:val="00D846FE"/>
    <w:rsid w:val="00DB3A76"/>
    <w:rsid w:val="00DE4AF2"/>
    <w:rsid w:val="00EF559F"/>
    <w:rsid w:val="00F35B6F"/>
    <w:rsid w:val="00F7087F"/>
    <w:rsid w:val="00FB37FC"/>
    <w:rsid w:val="00FC35FE"/>
    <w:rsid w:val="00FF17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8CE5F6-AAAE-B54A-8F4E-3B49F934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6FE"/>
  </w:style>
  <w:style w:type="paragraph" w:styleId="Footer">
    <w:name w:val="footer"/>
    <w:basedOn w:val="Normal"/>
    <w:link w:val="FooterChar"/>
    <w:uiPriority w:val="99"/>
    <w:unhideWhenUsed/>
    <w:rsid w:val="00D84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6FE"/>
  </w:style>
  <w:style w:type="paragraph" w:customStyle="1" w:styleId="Default">
    <w:name w:val="Default"/>
    <w:rsid w:val="007C7E9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835C78"/>
    <w:rPr>
      <w:color w:val="0563C1" w:themeColor="hyperlink"/>
      <w:u w:val="single"/>
    </w:rPr>
  </w:style>
  <w:style w:type="paragraph" w:styleId="ListParagraph">
    <w:name w:val="List Paragraph"/>
    <w:basedOn w:val="Normal"/>
    <w:uiPriority w:val="34"/>
    <w:qFormat/>
    <w:rsid w:val="00835C78"/>
    <w:pPr>
      <w:ind w:left="720"/>
      <w:contextualSpacing/>
    </w:pPr>
  </w:style>
  <w:style w:type="character" w:styleId="CommentReference">
    <w:name w:val="annotation reference"/>
    <w:basedOn w:val="DefaultParagraphFont"/>
    <w:uiPriority w:val="99"/>
    <w:semiHidden/>
    <w:unhideWhenUsed/>
    <w:rsid w:val="00804F34"/>
    <w:rPr>
      <w:sz w:val="16"/>
      <w:szCs w:val="16"/>
    </w:rPr>
  </w:style>
  <w:style w:type="paragraph" w:styleId="CommentText">
    <w:name w:val="annotation text"/>
    <w:basedOn w:val="Normal"/>
    <w:link w:val="CommentTextChar"/>
    <w:uiPriority w:val="99"/>
    <w:semiHidden/>
    <w:unhideWhenUsed/>
    <w:rsid w:val="00804F34"/>
    <w:pPr>
      <w:spacing w:line="240" w:lineRule="auto"/>
    </w:pPr>
    <w:rPr>
      <w:sz w:val="20"/>
      <w:szCs w:val="20"/>
    </w:rPr>
  </w:style>
  <w:style w:type="character" w:customStyle="1" w:styleId="CommentTextChar">
    <w:name w:val="Comment Text Char"/>
    <w:basedOn w:val="DefaultParagraphFont"/>
    <w:link w:val="CommentText"/>
    <w:uiPriority w:val="99"/>
    <w:semiHidden/>
    <w:rsid w:val="00804F34"/>
    <w:rPr>
      <w:sz w:val="20"/>
      <w:szCs w:val="20"/>
    </w:rPr>
  </w:style>
  <w:style w:type="paragraph" w:styleId="CommentSubject">
    <w:name w:val="annotation subject"/>
    <w:basedOn w:val="CommentText"/>
    <w:next w:val="CommentText"/>
    <w:link w:val="CommentSubjectChar"/>
    <w:uiPriority w:val="99"/>
    <w:semiHidden/>
    <w:unhideWhenUsed/>
    <w:rsid w:val="00804F34"/>
    <w:rPr>
      <w:b/>
      <w:bCs/>
    </w:rPr>
  </w:style>
  <w:style w:type="character" w:customStyle="1" w:styleId="CommentSubjectChar">
    <w:name w:val="Comment Subject Char"/>
    <w:basedOn w:val="CommentTextChar"/>
    <w:link w:val="CommentSubject"/>
    <w:uiPriority w:val="99"/>
    <w:semiHidden/>
    <w:rsid w:val="00804F34"/>
    <w:rPr>
      <w:b/>
      <w:bCs/>
      <w:sz w:val="20"/>
      <w:szCs w:val="20"/>
    </w:rPr>
  </w:style>
  <w:style w:type="paragraph" w:styleId="BalloonText">
    <w:name w:val="Balloon Text"/>
    <w:basedOn w:val="Normal"/>
    <w:link w:val="BalloonTextChar"/>
    <w:uiPriority w:val="99"/>
    <w:semiHidden/>
    <w:unhideWhenUsed/>
    <w:rsid w:val="00804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F34"/>
    <w:rPr>
      <w:rFonts w:ascii="Segoe UI" w:hAnsi="Segoe UI" w:cs="Segoe UI"/>
      <w:sz w:val="18"/>
      <w:szCs w:val="18"/>
    </w:rPr>
  </w:style>
  <w:style w:type="character" w:styleId="Strong">
    <w:name w:val="Strong"/>
    <w:basedOn w:val="DefaultParagraphFont"/>
    <w:uiPriority w:val="22"/>
    <w:qFormat/>
    <w:rsid w:val="006E35F1"/>
    <w:rPr>
      <w:b/>
      <w:bCs/>
    </w:rPr>
  </w:style>
  <w:style w:type="character" w:styleId="Emphasis">
    <w:name w:val="Emphasis"/>
    <w:basedOn w:val="DefaultParagraphFont"/>
    <w:uiPriority w:val="20"/>
    <w:qFormat/>
    <w:rsid w:val="006E35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09886">
      <w:bodyDiv w:val="1"/>
      <w:marLeft w:val="0"/>
      <w:marRight w:val="0"/>
      <w:marTop w:val="0"/>
      <w:marBottom w:val="0"/>
      <w:divBdr>
        <w:top w:val="none" w:sz="0" w:space="0" w:color="auto"/>
        <w:left w:val="none" w:sz="0" w:space="0" w:color="auto"/>
        <w:bottom w:val="none" w:sz="0" w:space="0" w:color="auto"/>
        <w:right w:val="none" w:sz="0" w:space="0" w:color="auto"/>
      </w:divBdr>
    </w:div>
    <w:div w:id="208763740">
      <w:bodyDiv w:val="1"/>
      <w:marLeft w:val="0"/>
      <w:marRight w:val="0"/>
      <w:marTop w:val="0"/>
      <w:marBottom w:val="0"/>
      <w:divBdr>
        <w:top w:val="none" w:sz="0" w:space="0" w:color="auto"/>
        <w:left w:val="none" w:sz="0" w:space="0" w:color="auto"/>
        <w:bottom w:val="none" w:sz="0" w:space="0" w:color="auto"/>
        <w:right w:val="none" w:sz="0" w:space="0" w:color="auto"/>
      </w:divBdr>
    </w:div>
    <w:div w:id="1389187505">
      <w:bodyDiv w:val="1"/>
      <w:marLeft w:val="0"/>
      <w:marRight w:val="0"/>
      <w:marTop w:val="0"/>
      <w:marBottom w:val="0"/>
      <w:divBdr>
        <w:top w:val="none" w:sz="0" w:space="0" w:color="auto"/>
        <w:left w:val="none" w:sz="0" w:space="0" w:color="auto"/>
        <w:bottom w:val="none" w:sz="0" w:space="0" w:color="auto"/>
        <w:right w:val="none" w:sz="0" w:space="0" w:color="auto"/>
      </w:divBdr>
    </w:div>
    <w:div w:id="203761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nifer@summitpolicyworks.com" TargetMode="External"/><Relationship Id="rId1" Type="http://schemas.openxmlformats.org/officeDocument/2006/relationships/hyperlink" Target="mailto:Eliza@Schultz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Raana Simmons</dc:creator>
  <cp:keywords/>
  <dc:description/>
  <cp:lastModifiedBy>Medha Gudavalli</cp:lastModifiedBy>
  <cp:revision>3</cp:revision>
  <cp:lastPrinted>2018-04-16T18:05:00Z</cp:lastPrinted>
  <dcterms:created xsi:type="dcterms:W3CDTF">2018-04-16T18:04:00Z</dcterms:created>
  <dcterms:modified xsi:type="dcterms:W3CDTF">2018-04-16T18:08:00Z</dcterms:modified>
</cp:coreProperties>
</file>